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hd w:val="clear" w:color="auto" w:fill="fefefe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Sharjah Art Foundation is instituting the following measures to ensure adherence to UAE health, safety and social distancing guidelines:</w:t>
      </w:r>
    </w:p>
    <w:p>
      <w:pPr>
        <w:pStyle w:val="Body A"/>
        <w:shd w:val="clear" w:color="auto" w:fill="fefefe"/>
        <w:spacing w:after="0" w:line="240" w:lineRule="auto"/>
        <w:rPr>
          <w:rFonts w:ascii="Calibri" w:cs="Calibri" w:hAnsi="Calibri" w:eastAsia="Calibri"/>
          <w:b w:val="1"/>
          <w:bCs w:val="1"/>
          <w:color w:val="333333"/>
          <w:u w:color="333333"/>
        </w:rPr>
      </w:pPr>
    </w:p>
    <w:p>
      <w:pPr>
        <w:pStyle w:val="List Paragraph"/>
        <w:numPr>
          <w:ilvl w:val="0"/>
          <w:numId w:val="3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rFonts w:ascii="Trebuchet MS Bold" w:cs="Trebuchet MS Bold" w:hAnsi="Trebuchet MS Bold" w:eastAsia="Trebuchet MS Bold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>Sharj</w:t>
      </w:r>
      <w:r>
        <w:rPr>
          <w:rFonts w:ascii="Trebuchet MS"/>
          <w:color w:val="000000"/>
          <w:sz w:val="22"/>
          <w:szCs w:val="22"/>
          <w:u w:color="000000"/>
          <w:rtl w:val="0"/>
          <w:lang w:val="en-US"/>
        </w:rPr>
        <w:t>ah Art Foundation</w:t>
      </w:r>
      <w:r>
        <w:rPr>
          <w:rFonts w:hAnsi="Trebuchet MS" w:hint="default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Fonts w:ascii="Trebuchet MS"/>
          <w:color w:val="000000"/>
          <w:sz w:val="22"/>
          <w:szCs w:val="22"/>
          <w:u w:color="000000"/>
          <w:rtl w:val="0"/>
          <w:lang w:val="en-US"/>
        </w:rPr>
        <w:t xml:space="preserve">s exhibition </w:t>
      </w:r>
      <w:r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Art in the Age of Anxiety</w:t>
      </w:r>
      <w:r>
        <w:rPr>
          <w:rFonts w:ascii="Trebuchet MS"/>
          <w:color w:val="000000"/>
          <w:sz w:val="22"/>
          <w:szCs w:val="22"/>
          <w:u w:color="000000"/>
          <w:rtl w:val="0"/>
          <w:lang w:val="en-US"/>
        </w:rPr>
        <w:t xml:space="preserve">, on view in Galleries 1, 2 and 3 at Al Mureijah Art Spaces, and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Rain Room Sharjah</w:t>
      </w:r>
      <w:r>
        <w:rPr>
          <w:rFonts w:ascii="Trebuchet MS"/>
          <w:color w:val="000000"/>
          <w:sz w:val="22"/>
          <w:szCs w:val="22"/>
          <w:u w:color="000000"/>
          <w:rtl w:val="0"/>
          <w:lang w:val="en-US"/>
        </w:rPr>
        <w:t xml:space="preserve"> in Al Mujarrah Square will be open to the public 9:00 am to 9:00 pm, Saturday to Thursday, and 4:00 pm to 9:00 pm on Friday, from 26 June 2020 onwards. </w:t>
      </w:r>
    </w:p>
    <w:p>
      <w:pPr>
        <w:pStyle w:val="List Paragraph"/>
        <w:numPr>
          <w:ilvl w:val="0"/>
          <w:numId w:val="6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Other Foundation venues and spaces will remain closed until further notice. </w:t>
      </w:r>
    </w:p>
    <w:p>
      <w:pPr>
        <w:pStyle w:val="List Paragraph"/>
        <w:numPr>
          <w:ilvl w:val="0"/>
          <w:numId w:val="9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All events and programmes that involve the gathering of a large number of people will be postponed until further notice. </w:t>
      </w:r>
    </w:p>
    <w:p>
      <w:pPr>
        <w:pStyle w:val="List Paragraph"/>
        <w:numPr>
          <w:ilvl w:val="0"/>
          <w:numId w:val="12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>Foundation venue and office capacity will be limited in accordance with government regulations.</w:t>
      </w:r>
    </w:p>
    <w:p>
      <w:pPr>
        <w:pStyle w:val="List Paragraph"/>
        <w:numPr>
          <w:ilvl w:val="0"/>
          <w:numId w:val="15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There will be increased cleaning and sanitisation of all Foundation venues, spaces and offices in line with the recommendations of the UAE health authorities. </w:t>
      </w:r>
    </w:p>
    <w:p>
      <w:pPr>
        <w:pStyle w:val="List Paragraph"/>
        <w:numPr>
          <w:ilvl w:val="0"/>
          <w:numId w:val="18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There will be frequent and regular temperature checks for Foundation staff and visitors at the entrances to offices, exhibition venues and our permanent installation, </w:t>
      </w:r>
      <w:r>
        <w:rPr>
          <w:rFonts w:ascii="Calibri" w:cs="Calibri" w:hAnsi="Calibri" w:eastAsia="Calibri"/>
          <w:b w:val="1"/>
          <w:bCs w:val="1"/>
          <w:color w:val="333333"/>
          <w:sz w:val="22"/>
          <w:szCs w:val="22"/>
          <w:u w:color="333333"/>
          <w:rtl w:val="0"/>
          <w:lang w:val="en-US"/>
        </w:rPr>
        <w:t>Rain Room Sharjah</w:t>
      </w: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21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There will be hand sanitisers and other sanitisation products available at all our venue entrances. </w:t>
      </w:r>
    </w:p>
    <w:p>
      <w:pPr>
        <w:pStyle w:val="Body A"/>
        <w:shd w:val="clear" w:color="auto" w:fill="fefefe"/>
        <w:spacing w:after="0" w:line="240" w:lineRule="auto"/>
        <w:rPr>
          <w:color w:val="333333"/>
          <w:u w:color="333333"/>
        </w:rPr>
      </w:pPr>
    </w:p>
    <w:p>
      <w:pPr>
        <w:pStyle w:val="Body A"/>
        <w:shd w:val="clear" w:color="auto" w:fill="fefefe"/>
        <w:spacing w:after="0" w:line="240" w:lineRule="auto"/>
        <w:rPr>
          <w:rFonts w:ascii="Calibri" w:cs="Calibri" w:hAnsi="Calibri" w:eastAsia="Calibri"/>
          <w:b w:val="1"/>
          <w:bCs w:val="1"/>
          <w:color w:val="333333"/>
          <w:u w:color="333333"/>
        </w:rPr>
      </w:pPr>
      <w:r>
        <w:rPr>
          <w:rFonts w:ascii="Calibri" w:cs="Calibri" w:hAnsi="Calibri" w:eastAsia="Calibri"/>
          <w:b w:val="1"/>
          <w:bCs w:val="1"/>
          <w:color w:val="333333"/>
          <w:sz w:val="22"/>
          <w:szCs w:val="22"/>
          <w:u w:color="333333"/>
          <w:rtl w:val="0"/>
          <w:lang w:val="en-US"/>
        </w:rPr>
        <w:t>Visiting SAF:</w:t>
      </w:r>
    </w:p>
    <w:p>
      <w:pPr>
        <w:pStyle w:val="Body A"/>
        <w:shd w:val="clear" w:color="auto" w:fill="fefefe"/>
        <w:spacing w:after="0" w:line="240" w:lineRule="auto"/>
        <w:rPr>
          <w:color w:val="333333"/>
          <w:u w:color="333333"/>
        </w:rPr>
      </w:pPr>
    </w:p>
    <w:p>
      <w:pPr>
        <w:pStyle w:val="List Paragraph"/>
        <w:numPr>
          <w:ilvl w:val="0"/>
          <w:numId w:val="24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Visitors interested in viewing the exhibition </w:t>
      </w:r>
      <w:r>
        <w:rPr>
          <w:rFonts w:ascii="Calibri" w:cs="Calibri" w:hAnsi="Calibri" w:eastAsia="Calibri"/>
          <w:i w:val="1"/>
          <w:iCs w:val="1"/>
          <w:color w:val="333333"/>
          <w:sz w:val="22"/>
          <w:szCs w:val="22"/>
          <w:u w:color="333333"/>
          <w:rtl w:val="0"/>
          <w:lang w:val="en-US"/>
        </w:rPr>
        <w:t>Art in the Age of Anxiety</w:t>
      </w: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 and the permanent installation </w:t>
      </w:r>
      <w:r>
        <w:rPr>
          <w:rFonts w:ascii="Calibri" w:cs="Calibri" w:hAnsi="Calibri" w:eastAsia="Calibri"/>
          <w:b w:val="1"/>
          <w:bCs w:val="1"/>
          <w:color w:val="333333"/>
          <w:sz w:val="22"/>
          <w:szCs w:val="22"/>
          <w:u w:color="333333"/>
          <w:rtl w:val="0"/>
          <w:lang w:val="en-US"/>
        </w:rPr>
        <w:t>Rain Room Sharjah</w:t>
      </w: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 are encouraged to book visits in advance on our website. Click here to book your slot for </w:t>
      </w:r>
      <w:r>
        <w:rPr>
          <w:rFonts w:ascii="Calibri" w:cs="Calibri" w:hAnsi="Calibri" w:eastAsia="Calibri"/>
          <w:i w:val="1"/>
          <w:iCs w:val="1"/>
          <w:color w:val="333333"/>
          <w:sz w:val="22"/>
          <w:szCs w:val="22"/>
          <w:u w:color="333333"/>
          <w:rtl w:val="0"/>
          <w:lang w:val="en-US"/>
        </w:rPr>
        <w:t xml:space="preserve">Art in the Age of Anxiety </w:t>
      </w: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>and here to buy tickets for</w:t>
      </w:r>
      <w:r>
        <w:rPr>
          <w:rFonts w:ascii="Calibri" w:cs="Calibri" w:hAnsi="Calibri" w:eastAsia="Calibri"/>
          <w:b w:val="1"/>
          <w:bCs w:val="1"/>
          <w:color w:val="333333"/>
          <w:sz w:val="22"/>
          <w:szCs w:val="22"/>
          <w:u w:color="333333"/>
          <w:rtl w:val="0"/>
          <w:lang w:val="en-US"/>
        </w:rPr>
        <w:t xml:space="preserve"> Rain Room Sharjah</w:t>
      </w: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27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Calibri" w:cs="Calibri" w:hAnsi="Calibri" w:eastAsia="Calibri"/>
          <w:i w:val="1"/>
          <w:iCs w:val="1"/>
          <w:color w:val="333333"/>
          <w:sz w:val="22"/>
          <w:szCs w:val="22"/>
          <w:u w:color="333333"/>
          <w:rtl w:val="0"/>
          <w:lang w:val="en-US"/>
        </w:rPr>
        <w:t>Art in the Age of Anxiety</w:t>
      </w: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 will have limited visitor capacity in adherence to social distancing guidelines. Visits to the exhibition will be limited to 45 minutes per booking. </w:t>
      </w:r>
    </w:p>
    <w:p>
      <w:pPr>
        <w:pStyle w:val="List Paragraph"/>
        <w:numPr>
          <w:ilvl w:val="0"/>
          <w:numId w:val="30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Visits to </w:t>
      </w:r>
      <w:r>
        <w:rPr>
          <w:rFonts w:ascii="Calibri" w:cs="Calibri" w:hAnsi="Calibri" w:eastAsia="Calibri"/>
          <w:b w:val="1"/>
          <w:bCs w:val="1"/>
          <w:color w:val="333333"/>
          <w:sz w:val="22"/>
          <w:szCs w:val="22"/>
          <w:u w:color="333333"/>
          <w:rtl w:val="0"/>
          <w:lang w:val="en-US"/>
        </w:rPr>
        <w:t>Rain Room Sharjah</w:t>
      </w: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 will be limited to 5 visitors per slot and a 15-minute visit time per viewing. </w:t>
      </w:r>
    </w:p>
    <w:p>
      <w:pPr>
        <w:pStyle w:val="List Paragraph"/>
        <w:numPr>
          <w:ilvl w:val="0"/>
          <w:numId w:val="33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At the venue entrances for the exhibition and </w:t>
      </w:r>
      <w:r>
        <w:rPr>
          <w:rFonts w:ascii="Calibri" w:cs="Calibri" w:hAnsi="Calibri" w:eastAsia="Calibri"/>
          <w:b w:val="1"/>
          <w:bCs w:val="1"/>
          <w:color w:val="333333"/>
          <w:sz w:val="22"/>
          <w:szCs w:val="22"/>
          <w:u w:color="333333"/>
          <w:rtl w:val="0"/>
          <w:lang w:val="en-US"/>
        </w:rPr>
        <w:t>Rain Room Sharjah</w:t>
      </w: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, visitors should provide proof of booking or reservation. </w:t>
      </w:r>
    </w:p>
    <w:p>
      <w:pPr>
        <w:pStyle w:val="List Paragraph"/>
        <w:numPr>
          <w:ilvl w:val="0"/>
          <w:numId w:val="36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Visitors who are unable to make an advance online booking can book in person at the Information Centre in Al Mureijah Art Spaces, Al Mureijah Square, or at the </w:t>
      </w:r>
      <w:r>
        <w:rPr>
          <w:rFonts w:ascii="Calibri" w:cs="Calibri" w:hAnsi="Calibri" w:eastAsia="Calibri"/>
          <w:b w:val="1"/>
          <w:bCs w:val="1"/>
          <w:color w:val="333333"/>
          <w:sz w:val="22"/>
          <w:szCs w:val="22"/>
          <w:u w:color="333333"/>
          <w:rtl w:val="0"/>
          <w:lang w:val="en-US"/>
        </w:rPr>
        <w:t>Rain Room Sharjah</w:t>
      </w: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 ticketing booth in Al Majarrah Park. </w:t>
      </w:r>
    </w:p>
    <w:p>
      <w:pPr>
        <w:pStyle w:val="List Paragraph"/>
        <w:numPr>
          <w:ilvl w:val="0"/>
          <w:numId w:val="39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There will be enhanced disinfection and sanitisation of the venues between visits. </w:t>
      </w:r>
    </w:p>
    <w:p>
      <w:pPr>
        <w:pStyle w:val="List Paragraph"/>
        <w:numPr>
          <w:ilvl w:val="0"/>
          <w:numId w:val="42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Protective gloves will be provided to visitors who wish to try interactive and experiential works. </w:t>
      </w:r>
    </w:p>
    <w:p>
      <w:pPr>
        <w:pStyle w:val="List Paragraph"/>
        <w:numPr>
          <w:ilvl w:val="0"/>
          <w:numId w:val="45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Interactive and experiential works will be sanitised after every use. </w:t>
      </w:r>
    </w:p>
    <w:p>
      <w:pPr>
        <w:pStyle w:val="List Paragraph"/>
        <w:numPr>
          <w:ilvl w:val="0"/>
          <w:numId w:val="48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Temperature checks will be conducted before visitors enter venues. </w:t>
      </w:r>
    </w:p>
    <w:p>
      <w:pPr>
        <w:pStyle w:val="List Paragraph"/>
        <w:numPr>
          <w:ilvl w:val="0"/>
          <w:numId w:val="51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000000"/>
          <w:sz w:val="22"/>
          <w:szCs w:val="22"/>
          <w:u w:color="000000"/>
          <w:rtl w:val="0"/>
          <w:lang w:val="en-US"/>
        </w:rPr>
        <w:t xml:space="preserve">Visitors are encouraged to wear masks at all times during visits to our spaces. The Foundation will provide additional masks at the Information Centre, if needed. </w:t>
      </w:r>
    </w:p>
    <w:p>
      <w:pPr>
        <w:pStyle w:val="List Paragraph"/>
        <w:numPr>
          <w:ilvl w:val="0"/>
          <w:numId w:val="54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 xml:space="preserve">Guided tours are not available for the time being. However, our staff are always available for any inquiries or assistance. </w:t>
      </w:r>
    </w:p>
    <w:p>
      <w:pPr>
        <w:pStyle w:val="List Paragraph"/>
        <w:numPr>
          <w:ilvl w:val="0"/>
          <w:numId w:val="57"/>
        </w:numPr>
        <w:shd w:val="clear" w:color="auto" w:fill="fefefe"/>
        <w:bidi w:val="0"/>
        <w:spacing w:after="0" w:line="240" w:lineRule="auto"/>
        <w:ind w:left="720" w:right="0" w:hanging="360"/>
        <w:jc w:val="left"/>
        <w:rPr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Trebuchet MS"/>
          <w:color w:val="333333"/>
          <w:sz w:val="22"/>
          <w:szCs w:val="22"/>
          <w:u w:color="333333"/>
          <w:rtl w:val="0"/>
          <w:lang w:val="en-US"/>
        </w:rPr>
        <w:t>Copies of these precautionary measures and safety advice for visitors and staff will be placed in all public venues and spaces.</w:t>
      </w:r>
    </w:p>
    <w:p>
      <w:pPr>
        <w:pStyle w:val="Body A"/>
      </w:pPr>
      <w:r>
        <w:rPr>
          <w:color w:val="333333"/>
          <w:u w:color="333333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 Bold" w:cs="Trebuchet MS Bold" w:hAnsi="Trebuchet MS Bold" w:eastAsia="Trebuchet MS Bold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33"/>
          <w:tab w:val="clear" w:pos="0"/>
        </w:tabs>
      </w:pPr>
      <w:rPr>
        <w:rFonts w:ascii="Calibri" w:cs="Calibri" w:hAnsi="Calibri" w:eastAsia="Calibri"/>
        <w:i w:val="1"/>
        <w:iCs w:val="1"/>
        <w:color w:val="333333"/>
        <w:position w:val="0"/>
        <w:sz w:val="22"/>
        <w:szCs w:val="22"/>
        <w:u w:color="333333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333333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333333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333333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333333"/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color w:val="333333"/>
        <w:position w:val="0"/>
        <w:sz w:val="22"/>
        <w:szCs w:val="22"/>
        <w:u w:color="333333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numbering" w:styleId="List 15">
    <w:name w:val="List 15"/>
    <w:basedOn w:val="Imported Style 16"/>
    <w:next w:val="List 15"/>
    <w:pPr>
      <w:numPr>
        <w:numId w:val="46"/>
      </w:numPr>
    </w:pPr>
  </w:style>
  <w:style w:type="numbering" w:styleId="Imported Style 16">
    <w:name w:val="Imported Style 16"/>
    <w:next w:val="Imported Style 16"/>
    <w:pPr>
      <w:numPr>
        <w:numId w:val="47"/>
      </w:numPr>
    </w:pPr>
  </w:style>
  <w:style w:type="numbering" w:styleId="List 16">
    <w:name w:val="List 16"/>
    <w:basedOn w:val="Imported Style 17"/>
    <w:next w:val="List 16"/>
    <w:pPr>
      <w:numPr>
        <w:numId w:val="49"/>
      </w:numPr>
    </w:pPr>
  </w:style>
  <w:style w:type="numbering" w:styleId="Imported Style 17">
    <w:name w:val="Imported Style 17"/>
    <w:next w:val="Imported Style 17"/>
    <w:pPr>
      <w:numPr>
        <w:numId w:val="50"/>
      </w:numPr>
    </w:pPr>
  </w:style>
  <w:style w:type="numbering" w:styleId="List 17">
    <w:name w:val="List 17"/>
    <w:basedOn w:val="Imported Style 19"/>
    <w:next w:val="List 17"/>
    <w:pPr>
      <w:numPr>
        <w:numId w:val="52"/>
      </w:numPr>
    </w:pPr>
  </w:style>
  <w:style w:type="numbering" w:styleId="Imported Style 19">
    <w:name w:val="Imported Style 19"/>
    <w:next w:val="Imported Style 19"/>
    <w:pPr>
      <w:numPr>
        <w:numId w:val="53"/>
      </w:numPr>
    </w:pPr>
  </w:style>
  <w:style w:type="numbering" w:styleId="List 18">
    <w:name w:val="List 18"/>
    <w:basedOn w:val="Imported Style 20"/>
    <w:next w:val="List 18"/>
    <w:pPr>
      <w:numPr>
        <w:numId w:val="55"/>
      </w:numPr>
    </w:pPr>
  </w:style>
  <w:style w:type="numbering" w:styleId="Imported Style 20">
    <w:name w:val="Imported Style 20"/>
    <w:next w:val="Imported Style 20"/>
    <w:pPr>
      <w:numPr>
        <w:numId w:val="5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